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DAEB" w14:textId="77777777" w:rsidR="005C4D52" w:rsidRDefault="005C4D52">
      <w:pPr>
        <w:spacing w:line="560" w:lineRule="exact"/>
        <w:ind w:firstLineChars="200" w:firstLine="640"/>
        <w:rPr>
          <w:rFonts w:ascii="仿宋_GB2312" w:eastAsia="仿宋_GB2312" w:hAnsi="仿宋_GB2312" w:cs="仿宋_GB2312" w:hint="eastAsia"/>
          <w:sz w:val="32"/>
          <w:szCs w:val="32"/>
        </w:rPr>
      </w:pPr>
    </w:p>
    <w:p w14:paraId="6A9633EC" w14:textId="77777777" w:rsidR="005C4D52" w:rsidRDefault="005C4D52">
      <w:pPr>
        <w:spacing w:line="560" w:lineRule="exact"/>
        <w:ind w:firstLineChars="200" w:firstLine="640"/>
        <w:rPr>
          <w:rFonts w:ascii="仿宋_GB2312" w:eastAsia="仿宋_GB2312" w:hAnsi="仿宋_GB2312" w:cs="仿宋_GB2312" w:hint="eastAsia"/>
          <w:sz w:val="32"/>
          <w:szCs w:val="32"/>
        </w:rPr>
      </w:pPr>
    </w:p>
    <w:p w14:paraId="1F52DAAC" w14:textId="77777777" w:rsidR="005C4D52" w:rsidRDefault="00000000">
      <w:pPr>
        <w:spacing w:line="560" w:lineRule="exact"/>
        <w:ind w:firstLineChars="200" w:firstLine="880"/>
        <w:jc w:val="center"/>
        <w:rPr>
          <w:rFonts w:ascii="宋体" w:hAnsi="宋体" w:cs="宋体" w:hint="eastAsia"/>
          <w:sz w:val="44"/>
          <w:szCs w:val="44"/>
        </w:rPr>
      </w:pPr>
      <w:r>
        <w:rPr>
          <w:rFonts w:ascii="宋体" w:hAnsi="宋体" w:cs="宋体" w:hint="eastAsia"/>
          <w:sz w:val="44"/>
          <w:szCs w:val="44"/>
        </w:rPr>
        <w:t>最高人民法院</w:t>
      </w:r>
    </w:p>
    <w:p w14:paraId="489BCE94" w14:textId="77777777" w:rsidR="005C4D52" w:rsidRDefault="00000000">
      <w:pPr>
        <w:spacing w:line="560" w:lineRule="exact"/>
        <w:ind w:firstLineChars="200" w:firstLine="880"/>
        <w:jc w:val="center"/>
        <w:rPr>
          <w:rFonts w:ascii="宋体" w:hAnsi="宋体" w:cs="宋体" w:hint="eastAsia"/>
          <w:sz w:val="44"/>
          <w:szCs w:val="44"/>
        </w:rPr>
      </w:pPr>
      <w:r>
        <w:rPr>
          <w:rFonts w:ascii="宋体" w:hAnsi="宋体" w:cs="宋体" w:hint="eastAsia"/>
          <w:sz w:val="44"/>
          <w:szCs w:val="44"/>
        </w:rPr>
        <w:t>关于审理民间借贷案件适用法律</w:t>
      </w:r>
    </w:p>
    <w:p w14:paraId="1C50D24B" w14:textId="77777777" w:rsidR="005C4D52" w:rsidRDefault="00000000">
      <w:pPr>
        <w:spacing w:line="560" w:lineRule="exact"/>
        <w:ind w:firstLineChars="200" w:firstLine="880"/>
        <w:jc w:val="center"/>
        <w:rPr>
          <w:rFonts w:ascii="宋体" w:hAnsi="宋体" w:cs="宋体" w:hint="eastAsia"/>
          <w:sz w:val="44"/>
          <w:szCs w:val="44"/>
        </w:rPr>
      </w:pPr>
      <w:r>
        <w:rPr>
          <w:rFonts w:ascii="宋体" w:hAnsi="宋体" w:cs="宋体" w:hint="eastAsia"/>
          <w:sz w:val="44"/>
          <w:szCs w:val="44"/>
        </w:rPr>
        <w:t>若干问题的规定</w:t>
      </w:r>
    </w:p>
    <w:p w14:paraId="63A04882" w14:textId="77777777" w:rsidR="005C4D52" w:rsidRDefault="005C4D52">
      <w:pPr>
        <w:spacing w:line="560" w:lineRule="exact"/>
        <w:ind w:firstLineChars="200" w:firstLine="640"/>
        <w:rPr>
          <w:rFonts w:ascii="仿宋_GB2312" w:eastAsia="仿宋_GB2312" w:hAnsi="仿宋_GB2312" w:cs="仿宋_GB2312" w:hint="eastAsia"/>
          <w:sz w:val="32"/>
          <w:szCs w:val="32"/>
        </w:rPr>
      </w:pPr>
    </w:p>
    <w:p w14:paraId="170A8516" w14:textId="77777777" w:rsidR="005C4D52" w:rsidRDefault="00000000">
      <w:pPr>
        <w:spacing w:line="560" w:lineRule="exact"/>
        <w:ind w:leftChars="300" w:left="630" w:rightChars="300" w:right="63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（2015年6月23日最高人民法院审判委员会第1655次会议通过，根据2020年8月18日最高人民法院审判委员会第1809次会议《关于修改〈关于审理民间借贷案件适用法律若干问题的规定〉的决定》修正，该</w:t>
      </w:r>
      <w:proofErr w:type="gramStart"/>
      <w:r>
        <w:rPr>
          <w:rFonts w:ascii="楷体_GB2312" w:eastAsia="楷体_GB2312" w:hAnsi="楷体_GB2312" w:cs="楷体_GB2312" w:hint="eastAsia"/>
          <w:sz w:val="32"/>
          <w:szCs w:val="32"/>
        </w:rPr>
        <w:t>修正自</w:t>
      </w:r>
      <w:proofErr w:type="gramEnd"/>
      <w:r>
        <w:rPr>
          <w:rFonts w:ascii="楷体_GB2312" w:eastAsia="楷体_GB2312" w:hAnsi="楷体_GB2312" w:cs="楷体_GB2312" w:hint="eastAsia"/>
          <w:sz w:val="32"/>
          <w:szCs w:val="32"/>
        </w:rPr>
        <w:t>2020年8月20日起施行）</w:t>
      </w:r>
    </w:p>
    <w:p w14:paraId="09A05903" w14:textId="77777777" w:rsidR="005C4D52" w:rsidRDefault="005C4D52">
      <w:pPr>
        <w:spacing w:line="560" w:lineRule="exact"/>
        <w:ind w:firstLineChars="200" w:firstLine="640"/>
        <w:rPr>
          <w:rFonts w:ascii="仿宋_GB2312" w:eastAsia="仿宋_GB2312" w:hAnsi="仿宋_GB2312" w:cs="仿宋_GB2312" w:hint="eastAsia"/>
          <w:sz w:val="32"/>
          <w:szCs w:val="32"/>
        </w:rPr>
      </w:pPr>
    </w:p>
    <w:p w14:paraId="67838E85"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正确审理民间借贷纠纷案件，根据《中华人民共和国民法通则》《中华人民共和国物权法》《中华人民共和国担保法》《中华人民共和国合同法》《中华人民共和国民事诉讼法》《中华人民共和国刑事诉讼法》等相关法律之规定，结合审判实践，制定本规定。</w:t>
      </w:r>
    </w:p>
    <w:p w14:paraId="3CFF7AA1"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第一条  </w:t>
      </w:r>
      <w:r>
        <w:rPr>
          <w:rFonts w:ascii="仿宋_GB2312" w:eastAsia="仿宋_GB2312" w:hAnsi="仿宋_GB2312" w:cs="仿宋_GB2312" w:hint="eastAsia"/>
          <w:sz w:val="32"/>
          <w:szCs w:val="32"/>
        </w:rPr>
        <w:t>本规定所称的民间借贷，是指自然人、法人和非法人组织之间进行资金融通的行为。</w:t>
      </w:r>
    </w:p>
    <w:p w14:paraId="3010451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经金融监管部门批准设立的从事贷款业务的金融机构及其分支机构，因发放贷款等相关金融业务引发的纠纷，不适用本规定。</w:t>
      </w:r>
    </w:p>
    <w:p w14:paraId="7B3630B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出借人向人民法院提起民间借贷诉讼时，应当提供借据、收据、欠条等债权凭证以及其他能够证明借贷法律关系存在的证据。</w:t>
      </w:r>
    </w:p>
    <w:p w14:paraId="68F85F6E"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14:paraId="1B71F593"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借贷双方就合同履行地未约定或者约定不明确，事后未达成补充协议，按照合同相关条款或者交易习惯仍不能确定的，以接受货币一方所在地为合同履行地。</w:t>
      </w:r>
    </w:p>
    <w:p w14:paraId="7DE6D07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保证人为借款人提供连带责任保证，出借人仅起诉借款人的，人民法院可以不追加保证人为共同被告；出借人仅起诉保证人的，人民法院可以追加借款人为共同被告。</w:t>
      </w:r>
    </w:p>
    <w:p w14:paraId="1AD8F4D9"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保证人为借款人提供一般保证，出借人仅起诉保证人的，人民法院应当追加借款人为共同被告；出借人仅起诉借款人的，人民法院可以不追加保证人为共同被告。</w:t>
      </w:r>
    </w:p>
    <w:p w14:paraId="1035ED8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人民法院立案后，发现民间借贷行为本身涉嫌非法集资等犯罪的，应当裁定驳回起诉，并将涉嫌非法集资等犯罪的</w:t>
      </w:r>
      <w:r>
        <w:rPr>
          <w:rFonts w:ascii="仿宋_GB2312" w:eastAsia="仿宋_GB2312" w:hAnsi="仿宋_GB2312" w:cs="仿宋_GB2312" w:hint="eastAsia"/>
          <w:sz w:val="32"/>
          <w:szCs w:val="32"/>
        </w:rPr>
        <w:lastRenderedPageBreak/>
        <w:t>线索、材料移送公安或者检察机关。</w:t>
      </w:r>
    </w:p>
    <w:p w14:paraId="7FE6B69F"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公安或者检察机关不予立案，或者立案侦查后撤销案件，或者检察机关</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不起诉决定，或者经人民法院生效判决认定不构成非法集资等犯罪，当事人又以同一事实向人民法院提起诉讼的，人民法院应予受理。</w:t>
      </w:r>
    </w:p>
    <w:p w14:paraId="50F8FCC1"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14:paraId="7B054FDA"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民间借贷纠纷的基本案件事实必须以刑事案件的审理结果为依据，而该刑事案件尚未审结的，人民法院应当裁定中止诉讼。</w:t>
      </w:r>
    </w:p>
    <w:p w14:paraId="15D552F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借款人涉嫌犯罪或者生效判决认定其有罪，出借人起诉请求担保人承担民事责任的，人民法院应予受理。</w:t>
      </w:r>
    </w:p>
    <w:p w14:paraId="33DB74AA"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自然人之间的借款合同具有下列情形之一的，可以视为合同成立：</w:t>
      </w:r>
    </w:p>
    <w:p w14:paraId="05176F6F"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（一）以现金支付的，自借款人收到借款时；</w:t>
      </w:r>
    </w:p>
    <w:p w14:paraId="6F1AA859"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（二）以银行转账、网上电子汇款等形式支付的，</w:t>
      </w:r>
      <w:proofErr w:type="gramStart"/>
      <w:r>
        <w:rPr>
          <w:rFonts w:ascii="仿宋_GB2312" w:eastAsia="仿宋_GB2312" w:hAnsi="仿宋_GB2312" w:cs="仿宋_GB2312" w:hint="eastAsia"/>
          <w:sz w:val="32"/>
          <w:szCs w:val="32"/>
        </w:rPr>
        <w:t>自资金</w:t>
      </w:r>
      <w:proofErr w:type="gramEnd"/>
      <w:r>
        <w:rPr>
          <w:rFonts w:ascii="仿宋_GB2312" w:eastAsia="仿宋_GB2312" w:hAnsi="仿宋_GB2312" w:cs="仿宋_GB2312" w:hint="eastAsia"/>
          <w:sz w:val="32"/>
          <w:szCs w:val="32"/>
        </w:rPr>
        <w:t>到达借款人账户时；</w:t>
      </w:r>
    </w:p>
    <w:p w14:paraId="6CB952E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（三）以票据交付的，自借款人依法取得票据权利时；</w:t>
      </w:r>
    </w:p>
    <w:p w14:paraId="1CAEF37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（四）出借人将</w:t>
      </w:r>
      <w:proofErr w:type="gramStart"/>
      <w:r>
        <w:rPr>
          <w:rFonts w:ascii="仿宋_GB2312" w:eastAsia="仿宋_GB2312" w:hAnsi="仿宋_GB2312" w:cs="仿宋_GB2312" w:hint="eastAsia"/>
          <w:sz w:val="32"/>
          <w:szCs w:val="32"/>
        </w:rPr>
        <w:t>特定资金</w:t>
      </w:r>
      <w:proofErr w:type="gramEnd"/>
      <w:r>
        <w:rPr>
          <w:rFonts w:ascii="仿宋_GB2312" w:eastAsia="仿宋_GB2312" w:hAnsi="仿宋_GB2312" w:cs="仿宋_GB2312" w:hint="eastAsia"/>
          <w:sz w:val="32"/>
          <w:szCs w:val="32"/>
        </w:rPr>
        <w:t>账户支配权授权给借款人的，自借款人取得对该账户实际支配权时；</w:t>
      </w:r>
    </w:p>
    <w:p w14:paraId="7EBFCE75"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（五）出借人以与借款人约定的其他方式提供借款并实际履行完成时。</w:t>
      </w:r>
    </w:p>
    <w:p w14:paraId="1F606CB8"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除自然人之间的借款合同外，当事人主张民间借贷合同自合同成立时生效的，人民法院应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持，但当事人另有约定或者法律、行政法规另有规定的除外。</w:t>
      </w:r>
    </w:p>
    <w:p w14:paraId="51379F64"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法人之间、非法人组织之间以及它们相互之间为生产、经营需要订立的民间借贷合同，除存在《中华人民共和国合同法》第五十二条以及本规定第十四条规定的情形外，当事人主张民间借贷合同有效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5DEAA348"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法人或者非法人组织在本单位内部通过借款形式向职工筹集资金，用于本单位生产、经营，且不存在《中华人民共和国合同法》第五十二条以及本规定第十四条规定的情形，当事人主张民间借贷合同有效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0D86E6D6"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 xml:space="preserve">借款人或者出借人的借贷行为涉嫌犯罪，或者已经生效的裁判认定构成犯罪，当事人提起民事诉讼的，民间借贷合同并不当然无效。人民法院应当依据《中华人民共和国合同法》         </w:t>
      </w:r>
    </w:p>
    <w:p w14:paraId="0B5265E1"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第五十二条以及本规定第十四条之规定，认定民间借贷合同的效力。</w:t>
      </w:r>
    </w:p>
    <w:p w14:paraId="731B1CD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14:paraId="722D3A9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具有下列情形之一的，人民法院应当认定民间借贷合同无效：</w:t>
      </w:r>
    </w:p>
    <w:p w14:paraId="4C2E9E55"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（一）套取金融机构贷款转贷的；</w:t>
      </w:r>
    </w:p>
    <w:p w14:paraId="337D021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（二）以向其他营利法人借贷、向本单位职工集资，或者以向公众非法吸收存款等方式取得的资金转贷的；</w:t>
      </w:r>
    </w:p>
    <w:p w14:paraId="5DC6E734"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（三）未依法取得放贷资格的出借人，以营利为目的向社会不特定对象提供借款的；</w:t>
      </w:r>
    </w:p>
    <w:p w14:paraId="32A09979"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（四）出借人事先知道或者应当知道借款人借款用于违法犯罪活动仍然提供借款的；</w:t>
      </w:r>
    </w:p>
    <w:p w14:paraId="562C79C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（五）违反法律、行政法规强制性规定的；</w:t>
      </w:r>
    </w:p>
    <w:p w14:paraId="03493B7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（六）违背公序良俗的。</w:t>
      </w:r>
    </w:p>
    <w:p w14:paraId="2B7BDC9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第十五条  </w:t>
      </w:r>
      <w:r>
        <w:rPr>
          <w:rFonts w:ascii="仿宋_GB2312" w:eastAsia="仿宋_GB2312" w:hAnsi="仿宋_GB2312" w:cs="仿宋_GB2312" w:hint="eastAsia"/>
          <w:sz w:val="32"/>
          <w:szCs w:val="32"/>
        </w:rPr>
        <w:t>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14:paraId="49CB4156"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当事人通过调解、和解或者清算达成的债权债务协议，不适</w:t>
      </w:r>
      <w:r>
        <w:rPr>
          <w:rFonts w:ascii="仿宋_GB2312" w:eastAsia="仿宋_GB2312" w:hAnsi="仿宋_GB2312" w:cs="仿宋_GB2312" w:hint="eastAsia"/>
          <w:sz w:val="32"/>
          <w:szCs w:val="32"/>
        </w:rPr>
        <w:lastRenderedPageBreak/>
        <w:t>用前款规定。</w:t>
      </w:r>
    </w:p>
    <w:p w14:paraId="159669F8"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原告仅依据借据、收据、欠条等债权凭证提起民间借贷诉讼，被告抗辩已经偿还借款的，被告应当对其主张提供证据证明。被告提供相应证据证明其主张后，原告仍应就借贷关系的存续承担举证责任。</w:t>
      </w:r>
    </w:p>
    <w:p w14:paraId="466C0DE2"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被告抗辩借贷行为尚未实际发生并能</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合理说明的，人民法院应当结合借贷金额、款项交付、当事人的经济能力、当地或者当事人之间的交易方式、交易习惯、当事人财产变动情况以及证人证言等事实和因素，综合判断查证借贷事实是否发生。</w:t>
      </w:r>
    </w:p>
    <w:p w14:paraId="3A5D792F"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14:paraId="2EFED10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14:paraId="00A4A713"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人民法院审理民间借贷纠纷案件时发现有下列情形之一的，应当严格审查借贷发生的原因、时间、地点、款项来源、交付方式、款项流向以及借贷双方的关系、经济状况等事</w:t>
      </w:r>
      <w:r>
        <w:rPr>
          <w:rFonts w:ascii="仿宋_GB2312" w:eastAsia="仿宋_GB2312" w:hAnsi="仿宋_GB2312" w:cs="仿宋_GB2312" w:hint="eastAsia"/>
          <w:sz w:val="32"/>
          <w:szCs w:val="32"/>
        </w:rPr>
        <w:lastRenderedPageBreak/>
        <w:t>实，综合判断是否属于虚假民事诉讼：</w:t>
      </w:r>
    </w:p>
    <w:p w14:paraId="47AA2E9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（一）出借人明显不具备出借能力；</w:t>
      </w:r>
    </w:p>
    <w:p w14:paraId="66CB050A"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（二）出借人起诉所依据的事实和理由明显不符合常理；</w:t>
      </w:r>
    </w:p>
    <w:p w14:paraId="158D4B4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（三）出借人不能提交债权凭证或者提交的债权凭证存在伪造的可能；</w:t>
      </w:r>
    </w:p>
    <w:p w14:paraId="688E3CF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（四）当事人双方在一定期限内多次参加民间借贷诉讼；</w:t>
      </w:r>
    </w:p>
    <w:p w14:paraId="33C666F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（五）当事人无正当理由拒不到庭参加诉讼，委托代理人对借贷事实陈述不清或者陈述前后矛盾；</w:t>
      </w:r>
    </w:p>
    <w:p w14:paraId="5D69D0C6"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（六）当事人双方对借贷事实的发生没有任何争议或者诉辩明显不符合常理；</w:t>
      </w:r>
    </w:p>
    <w:p w14:paraId="3F7B261A"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（七）借款人的配偶或者合伙人、案外人的其他债权人提出有事实依据的异议；</w:t>
      </w:r>
    </w:p>
    <w:p w14:paraId="72719C0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（八）当事人在其他纠纷中存在低价转让财产的情形；</w:t>
      </w:r>
    </w:p>
    <w:p w14:paraId="0B7C41B8"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（九）当事人不正当放弃权利；</w:t>
      </w:r>
    </w:p>
    <w:p w14:paraId="38F1DCBA"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（十）其他可能存在虚假民间借贷诉讼的情形。</w:t>
      </w:r>
    </w:p>
    <w:p w14:paraId="31AD9DD8"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经查明属于虚假民间借贷诉讼，原告申请撤诉的，人民法院不予准许，并应当依据《中华人民共和国民事诉讼法》第一百一十二条之规定，判决驳回其请求。</w:t>
      </w:r>
    </w:p>
    <w:p w14:paraId="6C8D2BE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诉讼参与人或者其他人恶意制造、参与虚假诉讼，人民法院</w:t>
      </w:r>
      <w:r>
        <w:rPr>
          <w:rFonts w:ascii="仿宋_GB2312" w:eastAsia="仿宋_GB2312" w:hAnsi="仿宋_GB2312" w:cs="仿宋_GB2312" w:hint="eastAsia"/>
          <w:sz w:val="32"/>
          <w:szCs w:val="32"/>
        </w:rPr>
        <w:lastRenderedPageBreak/>
        <w:t>应当依据《中华人民共和国民事诉讼法》第一百一十一条、第一百一十二条和第一百一十三条之规定，依法予以罚款、拘留；构成犯罪的，应当移送有管辖权的司法机关追究刑事责任。</w:t>
      </w:r>
    </w:p>
    <w:p w14:paraId="7ED92A5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单位恶意制造、参与虚假诉讼的，人民法院应当对该单位进行罚款，并可以对其主要负责人或者直接责任人员予以罚款、拘留；构成犯罪的，应当移送有管辖权的司法机关追究刑事责任。</w:t>
      </w:r>
    </w:p>
    <w:p w14:paraId="6C3ADA2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第二十一条  </w:t>
      </w:r>
      <w:r>
        <w:rPr>
          <w:rFonts w:ascii="仿宋_GB2312" w:eastAsia="仿宋_GB2312" w:hAnsi="仿宋_GB2312" w:cs="仿宋_GB2312" w:hint="eastAsia"/>
          <w:sz w:val="32"/>
          <w:szCs w:val="32"/>
        </w:rPr>
        <w:t>他人在借据、收据、欠条等债权凭证或者借款合同上签名或者盖章，但是未表明其保证人身份或者承担保证责任，或者通过其他事实不能推定其为保证人，出借人请求其承担保证责任的，人民法院不予支持。</w:t>
      </w:r>
    </w:p>
    <w:p w14:paraId="28D0A03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借贷双方通过网络贷款平台形成借贷关系，网络贷款平台的提供者仅提供媒介服务，当事人请求其承担担保责任的，人民法院不予支持。</w:t>
      </w:r>
    </w:p>
    <w:p w14:paraId="669FAD9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网络贷款平台的提供者通过网页、广告或者其他媒介明示或者有其他证据证明其为借贷提供担保，出借人请求网络贷款平台的提供者承担担保责任的，人民法院应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16D3F9AA"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14:paraId="5D1DA6E1"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法人的法定代表人或者非法人组织的负责人以个人名义与</w:t>
      </w:r>
      <w:r>
        <w:rPr>
          <w:rFonts w:ascii="仿宋_GB2312" w:eastAsia="仿宋_GB2312" w:hAnsi="仿宋_GB2312" w:cs="仿宋_GB2312" w:hint="eastAsia"/>
          <w:sz w:val="32"/>
          <w:szCs w:val="32"/>
        </w:rPr>
        <w:lastRenderedPageBreak/>
        <w:t>出借人订立民间借贷合同，所借款项用于单位生产经营，出借人请求单位与个人共同承担责任的，人民法院应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5597E173"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14:paraId="3EB0DF34"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按照民间借贷法律关系审理</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的判决生效后，借款人不履行生效判决确定的金钱债务，出借人可以申请拍卖买卖合同标的物，以偿还债务。就拍卖所得的价款与应偿还借款本息之间的差额，借款人或者出借人有权主张返还或者补偿。</w:t>
      </w:r>
    </w:p>
    <w:p w14:paraId="226FB358"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借贷双方没有约定利息，出借人主张支付利息的，人民法院不予支持。</w:t>
      </w:r>
    </w:p>
    <w:p w14:paraId="32400E9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14:paraId="5E7B6AC0" w14:textId="77777777" w:rsidR="005C4D52" w:rsidRDefault="00000000">
      <w:pPr>
        <w:spacing w:line="560" w:lineRule="exact"/>
        <w:ind w:firstLineChars="200" w:firstLine="640"/>
        <w:rPr>
          <w:rFonts w:ascii="仿宋_GB2312" w:eastAsia="仿宋_GB2312" w:hAnsi="仿宋_GB2312" w:cs="仿宋_GB2312" w:hint="eastAsia"/>
          <w:sz w:val="32"/>
          <w:szCs w:val="32"/>
        </w:rPr>
      </w:pPr>
      <w:bookmarkStart w:id="0" w:name="OLE_LINK29"/>
      <w:r>
        <w:rPr>
          <w:rFonts w:ascii="黑体" w:eastAsia="黑体" w:hAnsi="黑体" w:cs="黑体" w:hint="eastAsia"/>
          <w:sz w:val="32"/>
          <w:szCs w:val="32"/>
        </w:rPr>
        <w:t>第二十六条</w:t>
      </w:r>
      <w:bookmarkEnd w:id="0"/>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出借人请求借款人按照合同约定利率支付利息的，人民法院应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持，但是双方约定的利率超过合同成立时一年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报价利率四倍的除外。</w:t>
      </w:r>
    </w:p>
    <w:p w14:paraId="3FBB29AE"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前款所称“一年</w:t>
      </w:r>
      <w:proofErr w:type="gramStart"/>
      <w:r>
        <w:rPr>
          <w:rFonts w:ascii="仿宋_GB2312" w:eastAsia="仿宋_GB2312" w:hAnsi="仿宋_GB2312" w:cs="仿宋_GB2312" w:hint="eastAsia"/>
          <w:sz w:val="32"/>
          <w:szCs w:val="32"/>
        </w:rPr>
        <w:t>期贷</w:t>
      </w:r>
      <w:proofErr w:type="gramEnd"/>
      <w:r>
        <w:rPr>
          <w:rFonts w:ascii="仿宋_GB2312" w:eastAsia="仿宋_GB2312" w:hAnsi="仿宋_GB2312" w:cs="仿宋_GB2312" w:hint="eastAsia"/>
          <w:sz w:val="32"/>
          <w:szCs w:val="32"/>
        </w:rPr>
        <w:t>款市场报价利率”，是指中国人民银行</w:t>
      </w:r>
      <w:r>
        <w:rPr>
          <w:rFonts w:ascii="仿宋_GB2312" w:eastAsia="仿宋_GB2312" w:hAnsi="仿宋_GB2312" w:cs="仿宋_GB2312" w:hint="eastAsia"/>
          <w:sz w:val="32"/>
          <w:szCs w:val="32"/>
        </w:rPr>
        <w:lastRenderedPageBreak/>
        <w:t>授权全国银行间同业拆借中心自2019年8月20日起每月发布的一年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w:t>
      </w:r>
    </w:p>
    <w:p w14:paraId="0A3AE190"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借据、收据、欠条等债权凭证载明的借款金额，一般认定为本金。预先在本金中扣除利息的，人民法院应当将实际出借的金额认定为本金。</w:t>
      </w:r>
    </w:p>
    <w:p w14:paraId="0FEC13A1"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借贷双方对前期借款本息结算后将利息计入后期借款本金并重新出具债权凭证，如果前期利率没有超过合同成立时一年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报价利率四倍，重新出具的债权凭证载明的金额可认定为后期借款本金。超过部分的利息，不应认定为后期借款本金。</w:t>
      </w:r>
    </w:p>
    <w:p w14:paraId="6EB9B172"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按前款计算，借款人在借款期间届满后应当支付的本息之和，超过以最初借款本金与以最初借款本金为基数、以合同成立时一年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报价利率四倍计算的整个借款期间的利息之和的，人民法院不予支持。</w:t>
      </w:r>
    </w:p>
    <w:p w14:paraId="64D957D3" w14:textId="77777777" w:rsidR="005C4D52" w:rsidRDefault="00000000">
      <w:pPr>
        <w:spacing w:line="560" w:lineRule="exact"/>
        <w:ind w:firstLineChars="200" w:firstLine="640"/>
        <w:rPr>
          <w:rFonts w:ascii="仿宋_GB2312" w:eastAsia="仿宋_GB2312" w:hAnsi="仿宋_GB2312" w:cs="仿宋_GB2312" w:hint="eastAsia"/>
          <w:sz w:val="32"/>
          <w:szCs w:val="32"/>
        </w:rPr>
      </w:pPr>
      <w:bookmarkStart w:id="1" w:name="OLE_LINK28"/>
      <w:r>
        <w:rPr>
          <w:rFonts w:ascii="黑体" w:eastAsia="黑体" w:hAnsi="黑体" w:cs="黑体" w:hint="eastAsia"/>
          <w:sz w:val="32"/>
          <w:szCs w:val="32"/>
        </w:rPr>
        <w:t>第二十九条</w:t>
      </w:r>
      <w:bookmarkEnd w:id="1"/>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借贷双方对逾期利率有约定的，从其约定，但是以不超过合同成立时一年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报价利率四倍为限。</w:t>
      </w:r>
    </w:p>
    <w:p w14:paraId="010B2BC6"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未约定逾期利率或者约定不明的，人民法院可以区分不同情况处理：</w:t>
      </w:r>
    </w:p>
    <w:p w14:paraId="249AF08C"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（一）既未约定借期内利率，也未约定逾期利率，出借人主张借款人自逾期还款之日</w:t>
      </w:r>
      <w:proofErr w:type="gramStart"/>
      <w:r>
        <w:rPr>
          <w:rFonts w:ascii="仿宋_GB2312" w:eastAsia="仿宋_GB2312" w:hAnsi="仿宋_GB2312" w:cs="仿宋_GB2312" w:hint="eastAsia"/>
          <w:sz w:val="32"/>
          <w:szCs w:val="32"/>
        </w:rPr>
        <w:t>起承担</w:t>
      </w:r>
      <w:proofErr w:type="gramEnd"/>
      <w:r>
        <w:rPr>
          <w:rFonts w:ascii="仿宋_GB2312" w:eastAsia="仿宋_GB2312" w:hAnsi="仿宋_GB2312" w:cs="仿宋_GB2312" w:hint="eastAsia"/>
          <w:sz w:val="32"/>
          <w:szCs w:val="32"/>
        </w:rPr>
        <w:t>逾期还款违约责任的，人民法院应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670AE561"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（二）约定了借期内利率但是未约定逾期利率，出借人主张借款人自逾期还款之日起按照借期内利率支付资金占用期间利息的，人民法院应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280E9A43"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出借人与借款人既约定了逾期利率，又约定了违约金或者其他费用，出借人可以选择主张逾期利息、违约金或者其他费用，也可以一并主张，但是总计超过</w:t>
      </w:r>
      <w:bookmarkStart w:id="2" w:name="OLE_LINK26"/>
      <w:r>
        <w:rPr>
          <w:rFonts w:ascii="仿宋_GB2312" w:eastAsia="仿宋_GB2312" w:hAnsi="仿宋_GB2312" w:cs="仿宋_GB2312" w:hint="eastAsia"/>
          <w:sz w:val="32"/>
          <w:szCs w:val="32"/>
        </w:rPr>
        <w:t>合同成立时一年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报价利率四倍</w:t>
      </w:r>
      <w:bookmarkEnd w:id="2"/>
      <w:r>
        <w:rPr>
          <w:rFonts w:ascii="仿宋_GB2312" w:eastAsia="仿宋_GB2312" w:hAnsi="仿宋_GB2312" w:cs="仿宋_GB2312" w:hint="eastAsia"/>
          <w:sz w:val="32"/>
          <w:szCs w:val="32"/>
        </w:rPr>
        <w:t>的部分，人民法院不予支持。</w:t>
      </w:r>
    </w:p>
    <w:p w14:paraId="5340BA3B"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借款人可以提前偿还借款，但是当事人另有约定的除外。</w:t>
      </w:r>
    </w:p>
    <w:p w14:paraId="7535449E"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借款人提前偿还借款并主张按照实际借款期限计算利息的，人民法院应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179663C7"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本规定施行后，人民法院新受理的一审民间借贷纠纷案件，适用本规定。</w:t>
      </w:r>
    </w:p>
    <w:p w14:paraId="7F7E7EDD" w14:textId="77777777" w:rsidR="005C4D52"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借贷行为发生在2019年8月20日之前的，可参照原告起诉时一年</w:t>
      </w:r>
      <w:proofErr w:type="gramStart"/>
      <w:r>
        <w:rPr>
          <w:rFonts w:ascii="仿宋_GB2312" w:eastAsia="仿宋_GB2312" w:hAnsi="仿宋_GB2312" w:cs="仿宋_GB2312" w:hint="eastAsia"/>
          <w:sz w:val="32"/>
          <w:szCs w:val="32"/>
        </w:rPr>
        <w:t>期贷款市场</w:t>
      </w:r>
      <w:proofErr w:type="gramEnd"/>
      <w:r>
        <w:rPr>
          <w:rFonts w:ascii="仿宋_GB2312" w:eastAsia="仿宋_GB2312" w:hAnsi="仿宋_GB2312" w:cs="仿宋_GB2312" w:hint="eastAsia"/>
          <w:sz w:val="32"/>
          <w:szCs w:val="32"/>
        </w:rPr>
        <w:t>报价利率四倍确定受保护的利率上限。</w:t>
      </w:r>
    </w:p>
    <w:p w14:paraId="32D5DF9E" w14:textId="77777777" w:rsidR="005C4D52" w:rsidRDefault="00000000">
      <w:r>
        <w:rPr>
          <w:rFonts w:ascii="仿宋_GB2312" w:eastAsia="仿宋_GB2312" w:hAnsi="仿宋_GB2312" w:cs="仿宋_GB2312" w:hint="eastAsia"/>
          <w:sz w:val="32"/>
          <w:szCs w:val="32"/>
        </w:rPr>
        <w:t>本规定施行后，最高人民法院以前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的相关司法解释与本解释不一致的，以本解释为准。</w:t>
      </w:r>
    </w:p>
    <w:p w14:paraId="51F089A3" w14:textId="77777777" w:rsidR="005C4D52" w:rsidRDefault="005C4D52"/>
    <w:sectPr w:rsidR="005C4D52">
      <w:footerReference w:type="even" r:id="rId7"/>
      <w:footerReference w:type="default" r:id="rId8"/>
      <w:pgSz w:w="11906" w:h="16838"/>
      <w:pgMar w:top="2098" w:right="1474" w:bottom="1984" w:left="1587"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5F59" w14:textId="77777777" w:rsidR="00A3111D" w:rsidRDefault="00A3111D">
      <w:pPr>
        <w:spacing w:after="0" w:line="240" w:lineRule="auto"/>
      </w:pPr>
      <w:r>
        <w:separator/>
      </w:r>
    </w:p>
  </w:endnote>
  <w:endnote w:type="continuationSeparator" w:id="0">
    <w:p w14:paraId="0EAE1046" w14:textId="77777777" w:rsidR="00A3111D" w:rsidRDefault="00A3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FAA1" w14:textId="77777777" w:rsidR="005C4D52" w:rsidRDefault="00000000">
    <w:pPr>
      <w:pStyle w:val="a3"/>
      <w:rPr>
        <w:rFonts w:hint="eastAsia"/>
      </w:rPr>
    </w:pPr>
    <w:r>
      <w:rPr>
        <w:noProof/>
        <w:sz w:val="18"/>
      </w:rPr>
      <mc:AlternateContent>
        <mc:Choice Requires="wps">
          <w:drawing>
            <wp:anchor distT="0" distB="0" distL="114300" distR="114300" simplePos="0" relativeHeight="251662336" behindDoc="0" locked="0" layoutInCell="1" allowOverlap="1" wp14:anchorId="1B9E1C89" wp14:editId="1BB97ACE">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704E9" w14:textId="77777777" w:rsidR="005C4D52" w:rsidRDefault="0000000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E1C89" id="_x0000_t202" coordsize="21600,21600" o:spt="202" path="m,l,21600r21600,l21600,xe">
              <v:stroke joinstyle="miter"/>
              <v:path gradientshapeok="t" o:connecttype="rect"/>
            </v:shapetype>
            <v:shape id="文本框 6"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E704E9" w14:textId="77777777" w:rsidR="005C4D52" w:rsidRDefault="0000000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03AC" w14:textId="77777777" w:rsidR="005C4D52" w:rsidRDefault="00000000">
    <w:pPr>
      <w:pStyle w:val="a3"/>
      <w:rPr>
        <w:rFonts w:hint="eastAsia"/>
      </w:rPr>
    </w:pPr>
    <w:r>
      <w:rPr>
        <w:noProof/>
        <w:sz w:val="18"/>
      </w:rPr>
      <mc:AlternateContent>
        <mc:Choice Requires="wps">
          <w:drawing>
            <wp:anchor distT="0" distB="0" distL="114300" distR="114300" simplePos="0" relativeHeight="251660288" behindDoc="0" locked="0" layoutInCell="1" allowOverlap="1" wp14:anchorId="35A8EBCE" wp14:editId="2C6B15CE">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03CC1" w14:textId="77777777" w:rsidR="005C4D52" w:rsidRDefault="0000000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A8EBCE" id="_x0000_t202" coordsize="21600,21600" o:spt="202" path="m,l,21600r21600,l21600,xe">
              <v:stroke joinstyle="miter"/>
              <v:path gradientshapeok="t" o:connecttype="rect"/>
            </v:shapetype>
            <v:shape id="文本框 5"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303CC1" w14:textId="77777777" w:rsidR="005C4D52" w:rsidRDefault="0000000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4647" w14:textId="77777777" w:rsidR="00A3111D" w:rsidRDefault="00A3111D">
      <w:pPr>
        <w:spacing w:after="0" w:line="240" w:lineRule="auto"/>
      </w:pPr>
      <w:r>
        <w:separator/>
      </w:r>
    </w:p>
  </w:footnote>
  <w:footnote w:type="continuationSeparator" w:id="0">
    <w:p w14:paraId="47195756" w14:textId="77777777" w:rsidR="00A3111D" w:rsidRDefault="00A31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06158A"/>
    <w:rsid w:val="005C4D52"/>
    <w:rsid w:val="00690681"/>
    <w:rsid w:val="00700A6C"/>
    <w:rsid w:val="00752EAC"/>
    <w:rsid w:val="00A3111D"/>
    <w:rsid w:val="00B53D2E"/>
    <w:rsid w:val="00E32DA1"/>
    <w:rsid w:val="00FA10E3"/>
    <w:rsid w:val="030901B2"/>
    <w:rsid w:val="07347D0B"/>
    <w:rsid w:val="13A040CF"/>
    <w:rsid w:val="1E8D6747"/>
    <w:rsid w:val="2D853024"/>
    <w:rsid w:val="468315DB"/>
    <w:rsid w:val="4CB85E28"/>
    <w:rsid w:val="500F5883"/>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FA443"/>
  <w15:docId w15:val="{4DB4721A-BBC3-4515-AC43-20025E35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2495</Words>
  <Characters>2496</Characters>
  <Application>Microsoft Office Word</Application>
  <DocSecurity>0</DocSecurity>
  <Lines>118</Lines>
  <Paragraphs>81</Paragraphs>
  <ScaleCrop>false</ScaleCrop>
  <Company>微软中国</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2021-02-24T02:12:00Z</dcterms:created>
  <dcterms:modified xsi:type="dcterms:W3CDTF">2025-10-21T07:22:00Z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